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7"/>
          <w:szCs w:val="27"/>
        </w:rPr>
        <w:t>Obecně závazná vyhláška č. 1/2003</w:t>
      </w:r>
      <w:r>
        <w:rPr>
          <w:rFonts w:ascii="Verdana" w:hAnsi="Verdana" w:cs="Calibri"/>
          <w:b/>
          <w:bCs/>
          <w:color w:val="1D241C"/>
          <w:sz w:val="27"/>
          <w:szCs w:val="27"/>
        </w:rPr>
        <w:br/>
      </w:r>
      <w:r>
        <w:rPr>
          <w:rFonts w:ascii="Verdana" w:hAnsi="Verdana" w:cs="Calibri"/>
          <w:b/>
          <w:bCs/>
          <w:color w:val="1D241C"/>
          <w:sz w:val="27"/>
          <w:szCs w:val="27"/>
        </w:rPr>
        <w:br/>
      </w:r>
      <w:r>
        <w:rPr>
          <w:rFonts w:ascii="Verdana" w:hAnsi="Verdana" w:cs="Calibri"/>
          <w:color w:val="1D241C"/>
          <w:sz w:val="20"/>
          <w:szCs w:val="20"/>
        </w:rPr>
        <w:t>o stanovení příspěvku na částečnou úhradu neinvestičních nákladů mateřské školy.</w:t>
      </w:r>
      <w:r>
        <w:rPr>
          <w:rFonts w:ascii="Verdana" w:hAnsi="Verdana" w:cs="Calibri"/>
          <w:color w:val="1D241C"/>
          <w:sz w:val="20"/>
          <w:szCs w:val="20"/>
        </w:rPr>
        <w:br/>
      </w:r>
      <w:r>
        <w:rPr>
          <w:rFonts w:ascii="Verdana" w:hAnsi="Verdana" w:cs="Calibri"/>
          <w:color w:val="1D241C"/>
          <w:sz w:val="20"/>
          <w:szCs w:val="20"/>
        </w:rPr>
        <w:br/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Zastupitelstvo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obce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Smržice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v 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souladu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s 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ustanovením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§ 84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odst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. 2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písm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.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i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)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zákona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č. 128/2000 Sb., o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obcích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(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obecní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zřízení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),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ve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znění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pozdějších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předpisů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a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na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základě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ustanovení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§ 19a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až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gramStart"/>
      <w:r>
        <w:rPr>
          <w:rFonts w:ascii="Verdana" w:hAnsi="Verdana" w:cs="Calibri"/>
          <w:color w:val="1D241C"/>
          <w:sz w:val="20"/>
          <w:szCs w:val="20"/>
          <w:lang w:val="en-US"/>
        </w:rPr>
        <w:t>19d</w:t>
      </w:r>
      <w:proofErr w:type="gram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zákona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č. 564/1990 Sb., o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státní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správě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a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samosprávě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ve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školství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ve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znění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pozdějších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předpisů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schválilo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dne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11.12 2003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tuto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obecně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závaznou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Calibri"/>
          <w:color w:val="1D241C"/>
          <w:sz w:val="20"/>
          <w:szCs w:val="20"/>
          <w:lang w:val="en-US"/>
        </w:rPr>
        <w:t>vyhlášku</w:t>
      </w:r>
      <w:proofErr w:type="spellEnd"/>
      <w:r>
        <w:rPr>
          <w:rFonts w:ascii="Verdana" w:hAnsi="Verdana" w:cs="Calibri"/>
          <w:color w:val="1D241C"/>
          <w:sz w:val="20"/>
          <w:szCs w:val="20"/>
          <w:lang w:val="en-US"/>
        </w:rPr>
        <w:t>.</w:t>
      </w: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  <w:lang w:val="en-US"/>
        </w:rPr>
      </w:pP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Článek 1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Základní ustanovení</w:t>
      </w:r>
    </w:p>
    <w:p w:rsidR="00AA1574" w:rsidRDefault="00AA1574" w:rsidP="00AA1574">
      <w:pPr>
        <w:pStyle w:val="Normlnweb"/>
        <w:numPr>
          <w:ilvl w:val="0"/>
          <w:numId w:val="1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Tato obecně závazná vyhláška stanoví povinnost platit příspěvek na částečnou úhradu neinvestičních nákladů mateřských škol, školních družin a školních klubů (dále jen "náklady").</w:t>
      </w:r>
    </w:p>
    <w:p w:rsidR="00AA1574" w:rsidRDefault="00AA1574" w:rsidP="00AA1574">
      <w:pPr>
        <w:pStyle w:val="Normlnweb"/>
        <w:numPr>
          <w:ilvl w:val="0"/>
          <w:numId w:val="1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Tato obecně závazná vyhláška dále upravuje podmínky, výši a splatnost příspěvku na částečnou úhradu nákladů.</w:t>
      </w:r>
    </w:p>
    <w:p w:rsidR="00AA1574" w:rsidRDefault="00AA1574" w:rsidP="00AA1574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Článek 2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Úhrada příspěvku</w:t>
      </w:r>
    </w:p>
    <w:p w:rsidR="00AA1574" w:rsidRDefault="00AA1574" w:rsidP="00AA1574">
      <w:pPr>
        <w:pStyle w:val="Normlnweb"/>
        <w:numPr>
          <w:ilvl w:val="0"/>
          <w:numId w:val="2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Příspěvek na částečnou úhradu nákladů platí rodiče dítěte nebo jiní zákonní zástupci dítěte (dále jen "plátce").</w:t>
      </w:r>
    </w:p>
    <w:p w:rsidR="00AA1574" w:rsidRDefault="00AA1574" w:rsidP="00AA1574">
      <w:pPr>
        <w:pStyle w:val="Normlnweb"/>
        <w:numPr>
          <w:ilvl w:val="0"/>
          <w:numId w:val="2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Příspěvek na částečnou úhradu nákladů se platí na účet Základní školy Smržice nebo v hotovosti na Obecním úřadě Smržice vždy za dva uplynulé měsíce a je splatný nejpozději do 5. dne následujícího kalendářního měsíce.</w:t>
      </w:r>
    </w:p>
    <w:p w:rsidR="00AA1574" w:rsidRDefault="00AA1574" w:rsidP="00AA1574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Článek 3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Výše příspěvku</w:t>
      </w:r>
    </w:p>
    <w:p w:rsidR="00AA1574" w:rsidRDefault="00AA1574" w:rsidP="00AA1574">
      <w:pPr>
        <w:pStyle w:val="Normlnweb"/>
        <w:numPr>
          <w:ilvl w:val="0"/>
          <w:numId w:val="3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Výši příspěvku na částečnou úhradu nákladů mateřských škol stanovuje obec Smržice po projednání s Krajským úřadem Olomouckého kraje na 100,- Kč měsíčně za jedno dítě.</w:t>
      </w:r>
    </w:p>
    <w:p w:rsidR="00AA1574" w:rsidRDefault="00AA1574" w:rsidP="00AA1574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Článek 4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Osvobození a úlevy</w:t>
      </w:r>
    </w:p>
    <w:p w:rsidR="00AA1574" w:rsidRDefault="00AA1574" w:rsidP="00AA1574">
      <w:pPr>
        <w:pStyle w:val="Normlnweb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Navštěvuje-li dítě mateřskou školu nejméně polovinu měsíce, zaplatí plátce příspěvek v plné výši.</w:t>
      </w:r>
    </w:p>
    <w:p w:rsidR="00AA1574" w:rsidRDefault="00AA1574" w:rsidP="00AA1574">
      <w:pPr>
        <w:pStyle w:val="Normlnweb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 xml:space="preserve">Navštěvuje-li dítě mateřskou školu méně než polovinu měsíce, zaplatí plátce </w:t>
      </w:r>
      <w:proofErr w:type="gramStart"/>
      <w:r>
        <w:rPr>
          <w:rFonts w:ascii="Verdana" w:hAnsi="Verdana" w:cs="Calibri"/>
          <w:color w:val="1D241C"/>
          <w:sz w:val="20"/>
          <w:szCs w:val="20"/>
        </w:rPr>
        <w:t>50%</w:t>
      </w:r>
      <w:proofErr w:type="gramEnd"/>
      <w:r>
        <w:rPr>
          <w:rFonts w:ascii="Verdana" w:hAnsi="Verdana" w:cs="Calibri"/>
          <w:color w:val="1D241C"/>
          <w:sz w:val="20"/>
          <w:szCs w:val="20"/>
        </w:rPr>
        <w:t xml:space="preserve"> z celkové částky měsíčního příspěvku. Příspěvek se zaokrouhluje na celé koruny nahoru.</w:t>
      </w:r>
    </w:p>
    <w:p w:rsidR="00AA1574" w:rsidRDefault="00AA1574" w:rsidP="00AA1574">
      <w:pPr>
        <w:pStyle w:val="Normlnweb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lastRenderedPageBreak/>
        <w:t xml:space="preserve">Příspěvek neplatí plátce, jestliže by po jeho zaplacení klesl součet příjmů příslušníků domácnosti, ve které dítě žije, pod </w:t>
      </w:r>
      <w:proofErr w:type="gramStart"/>
      <w:r>
        <w:rPr>
          <w:rFonts w:ascii="Verdana" w:hAnsi="Verdana" w:cs="Calibri"/>
          <w:color w:val="1D241C"/>
          <w:sz w:val="20"/>
          <w:szCs w:val="20"/>
        </w:rPr>
        <w:t>1,25 násobek</w:t>
      </w:r>
      <w:proofErr w:type="gramEnd"/>
      <w:r>
        <w:rPr>
          <w:rFonts w:ascii="Verdana" w:hAnsi="Verdana" w:cs="Calibri"/>
          <w:color w:val="1D241C"/>
          <w:sz w:val="20"/>
          <w:szCs w:val="20"/>
        </w:rPr>
        <w:t xml:space="preserve"> částky potřebné k zajištění výživy a ostatních základních osobních potřeb a nezbytných nákladů na domácnost, stanovené podle zvláštních předpisů. Tuto skutečnost je plátce povinen prokázat nejpozději v den splatnosti příspěvku.</w:t>
      </w:r>
    </w:p>
    <w:p w:rsidR="00AA1574" w:rsidRDefault="00AA1574" w:rsidP="00AA1574">
      <w:pPr>
        <w:pStyle w:val="Normlnweb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Ve výjimečných případech rozhodne o osvobození od poplatku zcela nebo zčásti obec Smržice.</w:t>
      </w:r>
    </w:p>
    <w:p w:rsidR="00AA1574" w:rsidRDefault="00AA1574" w:rsidP="00AA1574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Článek 5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Sankce</w:t>
      </w:r>
    </w:p>
    <w:p w:rsidR="00AA1574" w:rsidRDefault="00AA1574" w:rsidP="00AA1574">
      <w:pPr>
        <w:pStyle w:val="Normlnweb"/>
        <w:numPr>
          <w:ilvl w:val="0"/>
          <w:numId w:val="5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 xml:space="preserve">Plátce, který nezaplatí příspěvek ve stanoveném termínu nebo ve správné výši, zaplatí penále ve výši </w:t>
      </w:r>
      <w:proofErr w:type="gramStart"/>
      <w:r>
        <w:rPr>
          <w:rFonts w:ascii="Verdana" w:hAnsi="Verdana" w:cs="Calibri"/>
          <w:color w:val="1D241C"/>
          <w:sz w:val="20"/>
          <w:szCs w:val="20"/>
        </w:rPr>
        <w:t>50%</w:t>
      </w:r>
      <w:proofErr w:type="gramEnd"/>
      <w:r>
        <w:rPr>
          <w:rFonts w:ascii="Verdana" w:hAnsi="Verdana" w:cs="Calibri"/>
          <w:color w:val="1D241C"/>
          <w:sz w:val="20"/>
          <w:szCs w:val="20"/>
        </w:rPr>
        <w:t xml:space="preserve"> dlužného příspěvku.</w:t>
      </w:r>
    </w:p>
    <w:p w:rsidR="00AA1574" w:rsidRDefault="00AA1574" w:rsidP="00AA1574">
      <w:pPr>
        <w:pStyle w:val="Normlnweb"/>
        <w:numPr>
          <w:ilvl w:val="0"/>
          <w:numId w:val="5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 xml:space="preserve">Nezaplatí-li plátce příspěvek za dobu delší než tři měsíce, zaplatí penále ve výši </w:t>
      </w:r>
      <w:proofErr w:type="gramStart"/>
      <w:r>
        <w:rPr>
          <w:rFonts w:ascii="Verdana" w:hAnsi="Verdana" w:cs="Calibri"/>
          <w:color w:val="1D241C"/>
          <w:sz w:val="20"/>
          <w:szCs w:val="20"/>
        </w:rPr>
        <w:t>100%</w:t>
      </w:r>
      <w:proofErr w:type="gramEnd"/>
      <w:r>
        <w:rPr>
          <w:rFonts w:ascii="Verdana" w:hAnsi="Verdana" w:cs="Calibri"/>
          <w:color w:val="1D241C"/>
          <w:sz w:val="20"/>
          <w:szCs w:val="20"/>
        </w:rPr>
        <w:t xml:space="preserve"> dlužného příspěvku.</w:t>
      </w:r>
    </w:p>
    <w:p w:rsidR="00AA1574" w:rsidRDefault="00AA1574" w:rsidP="00AA1574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Článek 6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Zrušovací ustanovení</w:t>
      </w:r>
    </w:p>
    <w:p w:rsidR="00AA1574" w:rsidRDefault="00AA1574" w:rsidP="00AA1574">
      <w:pPr>
        <w:pStyle w:val="Normlnweb"/>
        <w:numPr>
          <w:ilvl w:val="0"/>
          <w:numId w:val="6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Zrušuje se obecně závazná vyhláška obce č. 4/1994, o stanovení příspěvku na částečnou úhradu neinvestičních nákladů mateřské školy ve Smržicích ze dne 1.1.1994.</w:t>
      </w:r>
    </w:p>
    <w:p w:rsidR="00AA1574" w:rsidRDefault="00AA1574" w:rsidP="00AA1574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AA1574" w:rsidRDefault="00AA1574" w:rsidP="00AA1574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Článek 7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Závěrečná ustanovení</w:t>
      </w:r>
    </w:p>
    <w:p w:rsidR="00AA1574" w:rsidRDefault="00AA1574" w:rsidP="00AA1574">
      <w:pPr>
        <w:pStyle w:val="Normlnweb"/>
        <w:numPr>
          <w:ilvl w:val="0"/>
          <w:numId w:val="7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Tato vyhláška nabývá účinnosti dnem 1.1.2004.</w:t>
      </w:r>
    </w:p>
    <w:p w:rsidR="00562C83" w:rsidRDefault="00562C83">
      <w:bookmarkStart w:id="0" w:name="_GoBack"/>
      <w:bookmarkEnd w:id="0"/>
    </w:p>
    <w:sectPr w:rsidR="0056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830"/>
    <w:multiLevelType w:val="multilevel"/>
    <w:tmpl w:val="A938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FD0"/>
    <w:multiLevelType w:val="multilevel"/>
    <w:tmpl w:val="044C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20825"/>
    <w:multiLevelType w:val="multilevel"/>
    <w:tmpl w:val="439A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15CC5"/>
    <w:multiLevelType w:val="multilevel"/>
    <w:tmpl w:val="952E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41F5F"/>
    <w:multiLevelType w:val="multilevel"/>
    <w:tmpl w:val="6F0A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A4CC9"/>
    <w:multiLevelType w:val="multilevel"/>
    <w:tmpl w:val="0D9A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A7B09"/>
    <w:multiLevelType w:val="multilevel"/>
    <w:tmpl w:val="9BDA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74"/>
    <w:rsid w:val="00562C83"/>
    <w:rsid w:val="00A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48744-A984-4470-B16E-A2BEBF48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lukas.kuchlet@gmail.com</dc:creator>
  <cp:keywords/>
  <dc:description/>
  <cp:lastModifiedBy>lukas.kuchlet@gmail.com</cp:lastModifiedBy>
  <cp:revision>1</cp:revision>
  <dcterms:created xsi:type="dcterms:W3CDTF">2019-12-21T18:05:00Z</dcterms:created>
  <dcterms:modified xsi:type="dcterms:W3CDTF">2019-12-21T18:06:00Z</dcterms:modified>
</cp:coreProperties>
</file>