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7A1" w:rsidRDefault="009947A1" w:rsidP="009947A1">
      <w:pPr>
        <w:pStyle w:val="Normlnweb"/>
        <w:shd w:val="clear" w:color="auto" w:fill="FFFFFF"/>
        <w:spacing w:after="0" w:afterAutospacing="0"/>
        <w:jc w:val="center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b/>
          <w:bCs/>
          <w:color w:val="1D241C"/>
          <w:sz w:val="27"/>
          <w:szCs w:val="27"/>
        </w:rPr>
        <w:t>Obecně závazná vyhláška obce Smržice č. 3/2003</w:t>
      </w:r>
      <w:r>
        <w:rPr>
          <w:rFonts w:ascii="Verdana" w:hAnsi="Verdana" w:cs="Calibri"/>
          <w:color w:val="1D241C"/>
          <w:sz w:val="20"/>
          <w:szCs w:val="20"/>
        </w:rPr>
        <w:br/>
      </w:r>
      <w:r>
        <w:rPr>
          <w:rFonts w:ascii="Verdana" w:hAnsi="Verdana" w:cs="Calibri"/>
          <w:color w:val="1D241C"/>
          <w:sz w:val="20"/>
          <w:szCs w:val="20"/>
        </w:rPr>
        <w:br/>
      </w:r>
      <w:r>
        <w:rPr>
          <w:rFonts w:ascii="Verdana" w:hAnsi="Verdana" w:cs="Calibri"/>
          <w:b/>
          <w:bCs/>
          <w:color w:val="1D241C"/>
          <w:sz w:val="20"/>
          <w:szCs w:val="20"/>
        </w:rPr>
        <w:t>o místním poplatku za provoz systému shromažďování, sběru, přepravy, třídění, využívání a odstraňování komunálních odpadů</w:t>
      </w:r>
      <w:r>
        <w:rPr>
          <w:rFonts w:ascii="Verdana" w:hAnsi="Verdana" w:cs="Calibri"/>
          <w:b/>
          <w:bCs/>
          <w:color w:val="1D241C"/>
          <w:sz w:val="20"/>
          <w:szCs w:val="20"/>
        </w:rPr>
        <w:br/>
      </w:r>
      <w:r>
        <w:rPr>
          <w:rFonts w:ascii="Verdana" w:hAnsi="Verdana" w:cs="Calibri"/>
          <w:b/>
          <w:bCs/>
          <w:color w:val="1D241C"/>
          <w:sz w:val="20"/>
          <w:szCs w:val="20"/>
        </w:rPr>
        <w:br/>
      </w:r>
      <w:r>
        <w:rPr>
          <w:rFonts w:ascii="Verdana" w:hAnsi="Verdana" w:cs="Calibri"/>
          <w:color w:val="1D241C"/>
          <w:sz w:val="20"/>
          <w:szCs w:val="20"/>
        </w:rPr>
        <w:t>Zastupitelstvo obce Smržice schválilo dne 11.12. 2003 podle ustanovení § 14 odst. 2 zákona č. 565/1990 Sb., o místních poplatcích, ve znění pozdějších předpisů a v souladu s ustanoveními § 10 písm. d) a § 84 odst. 2 písm. i) zákona č. 128/2000 Sb., o obcích (obecní zřízení), ve znění pozdějších předpisů, tuto obecně závaznou vyhlášku.</w:t>
      </w:r>
    </w:p>
    <w:p w:rsidR="009947A1" w:rsidRDefault="009947A1" w:rsidP="009947A1">
      <w:pPr>
        <w:pStyle w:val="Normlnweb"/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</w:p>
    <w:p w:rsidR="009947A1" w:rsidRDefault="009947A1" w:rsidP="009947A1">
      <w:pPr>
        <w:pStyle w:val="Normlnweb"/>
        <w:shd w:val="clear" w:color="auto" w:fill="FFFFFF"/>
        <w:spacing w:after="0" w:afterAutospacing="0"/>
        <w:jc w:val="center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b/>
          <w:bCs/>
          <w:color w:val="1D241C"/>
          <w:sz w:val="20"/>
          <w:szCs w:val="20"/>
        </w:rPr>
        <w:t>ČÁST PRVNÍ</w:t>
      </w:r>
      <w:r>
        <w:rPr>
          <w:rFonts w:ascii="Verdana" w:hAnsi="Verdana" w:cs="Calibri"/>
          <w:b/>
          <w:bCs/>
          <w:color w:val="1D241C"/>
          <w:sz w:val="20"/>
          <w:szCs w:val="20"/>
        </w:rPr>
        <w:br/>
        <w:t>Základní ustanovení</w:t>
      </w:r>
    </w:p>
    <w:p w:rsidR="009947A1" w:rsidRDefault="009947A1" w:rsidP="009947A1">
      <w:pPr>
        <w:pStyle w:val="Normlnweb"/>
        <w:shd w:val="clear" w:color="auto" w:fill="FFFFFF"/>
        <w:spacing w:after="0" w:afterAutospacing="0"/>
        <w:jc w:val="center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b/>
          <w:bCs/>
          <w:color w:val="1D241C"/>
          <w:sz w:val="20"/>
          <w:szCs w:val="20"/>
        </w:rPr>
        <w:br/>
      </w:r>
      <w:r>
        <w:rPr>
          <w:rFonts w:ascii="Verdana" w:hAnsi="Verdana" w:cs="Calibri"/>
          <w:color w:val="1D241C"/>
          <w:sz w:val="20"/>
          <w:szCs w:val="20"/>
        </w:rPr>
        <w:t>Čl. 1</w:t>
      </w:r>
    </w:p>
    <w:p w:rsidR="009947A1" w:rsidRDefault="009947A1" w:rsidP="009947A1">
      <w:pPr>
        <w:pStyle w:val="Normlnweb"/>
        <w:numPr>
          <w:ilvl w:val="0"/>
          <w:numId w:val="1"/>
        </w:numPr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color w:val="1D241C"/>
          <w:sz w:val="20"/>
          <w:szCs w:val="20"/>
        </w:rPr>
        <w:t>Obec Smržice zavádí a vybírá poplatek za provoz systému shromažďování, sběru, přepravy, třídění, využívání a odstraňování komunálních odpadů.</w:t>
      </w:r>
    </w:p>
    <w:p w:rsidR="009947A1" w:rsidRDefault="009947A1" w:rsidP="009947A1">
      <w:pPr>
        <w:pStyle w:val="Normlnweb"/>
        <w:numPr>
          <w:ilvl w:val="0"/>
          <w:numId w:val="1"/>
        </w:numPr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color w:val="1D241C"/>
          <w:sz w:val="20"/>
          <w:szCs w:val="20"/>
        </w:rPr>
        <w:t>Správu poplatků vykonává Obecní úřad Smržice (dále jen správce poplatku). Na řízení o poplatcích se vztahuje zákon č. 337/1992 Sb., o správě daní a poplatků, ve znění pozdějších předpisů, není-li zákonem č. 565/1990 Sb., o místních poplatcích, ve znění pozdějších předpisů, stanoveno jinak.</w:t>
      </w:r>
    </w:p>
    <w:p w:rsidR="009947A1" w:rsidRDefault="009947A1" w:rsidP="009947A1">
      <w:pPr>
        <w:pStyle w:val="Normlnweb"/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</w:p>
    <w:p w:rsidR="009947A1" w:rsidRDefault="009947A1" w:rsidP="009947A1">
      <w:pPr>
        <w:pStyle w:val="Normlnweb"/>
        <w:shd w:val="clear" w:color="auto" w:fill="FFFFFF"/>
        <w:spacing w:after="0" w:afterAutospacing="0"/>
        <w:jc w:val="center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b/>
          <w:bCs/>
          <w:color w:val="1D241C"/>
          <w:sz w:val="20"/>
          <w:szCs w:val="20"/>
        </w:rPr>
        <w:t>ČÁST DRUHÁ</w:t>
      </w:r>
      <w:r>
        <w:rPr>
          <w:rFonts w:ascii="Verdana" w:hAnsi="Verdana" w:cs="Calibri"/>
          <w:b/>
          <w:bCs/>
          <w:color w:val="1D241C"/>
          <w:sz w:val="20"/>
          <w:szCs w:val="20"/>
        </w:rPr>
        <w:br/>
        <w:t>Poplatek za provoz systému shromažďování, sběru, přepravy, třídění, využívání a odstraňování komunálních odpadů</w:t>
      </w:r>
    </w:p>
    <w:p w:rsidR="009947A1" w:rsidRDefault="009947A1" w:rsidP="009947A1">
      <w:pPr>
        <w:pStyle w:val="Normlnweb"/>
        <w:shd w:val="clear" w:color="auto" w:fill="FFFFFF"/>
        <w:spacing w:after="0" w:afterAutospacing="0"/>
        <w:jc w:val="center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b/>
          <w:bCs/>
          <w:color w:val="1D241C"/>
          <w:sz w:val="20"/>
          <w:szCs w:val="20"/>
        </w:rPr>
        <w:br/>
      </w:r>
      <w:r>
        <w:rPr>
          <w:rFonts w:ascii="Verdana" w:hAnsi="Verdana" w:cs="Calibri"/>
          <w:color w:val="1D241C"/>
          <w:sz w:val="20"/>
          <w:szCs w:val="20"/>
        </w:rPr>
        <w:t>Čl. 2</w:t>
      </w:r>
      <w:r>
        <w:rPr>
          <w:rFonts w:ascii="Verdana" w:hAnsi="Verdana" w:cs="Calibri"/>
          <w:color w:val="1D241C"/>
          <w:sz w:val="20"/>
          <w:szCs w:val="20"/>
        </w:rPr>
        <w:br/>
        <w:t>Poplatník</w:t>
      </w:r>
    </w:p>
    <w:p w:rsidR="009947A1" w:rsidRDefault="009947A1" w:rsidP="009947A1">
      <w:pPr>
        <w:pStyle w:val="Normlnweb"/>
        <w:numPr>
          <w:ilvl w:val="0"/>
          <w:numId w:val="2"/>
        </w:numPr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color w:val="1D241C"/>
          <w:sz w:val="20"/>
          <w:szCs w:val="20"/>
        </w:rPr>
        <w:t>Poplatek platí</w:t>
      </w:r>
    </w:p>
    <w:p w:rsidR="009947A1" w:rsidRDefault="009947A1" w:rsidP="009947A1">
      <w:pPr>
        <w:pStyle w:val="Normlnweb"/>
        <w:numPr>
          <w:ilvl w:val="1"/>
          <w:numId w:val="2"/>
        </w:numPr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color w:val="1D241C"/>
          <w:sz w:val="20"/>
          <w:szCs w:val="20"/>
        </w:rPr>
        <w:t>fyzická osoba, která má v obci trvalý pobyt; za domácnost může být poplatek odváděn společným zástupcem, za rodinný nebo bytový dům vlastníkem nebo správcem; tyto osoby jsou povinny obci oznámit jména a data narození osob, za které poplatek odvádějí,</w:t>
      </w:r>
    </w:p>
    <w:p w:rsidR="009947A1" w:rsidRDefault="009947A1" w:rsidP="009947A1">
      <w:pPr>
        <w:pStyle w:val="Normlnweb"/>
        <w:numPr>
          <w:ilvl w:val="1"/>
          <w:numId w:val="2"/>
        </w:numPr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color w:val="1D241C"/>
          <w:sz w:val="20"/>
          <w:szCs w:val="20"/>
        </w:rPr>
        <w:t>fyzická osoba, která má ve vlastnictví stavbu určenou nebo sloužící k individuální rekreaci, ve které není hlášena k trvalému pobytu žádná fyzická osoba; má-li k této stavbě vlastnické právo více osob, jsou povinny platit poplatek společně a nerozdílně, a to ve výši odpovídající poplatku za jednu fyzickou osobu.</w:t>
      </w:r>
    </w:p>
    <w:p w:rsidR="009947A1" w:rsidRDefault="009947A1" w:rsidP="009947A1">
      <w:pPr>
        <w:pStyle w:val="Normlnweb"/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</w:p>
    <w:p w:rsidR="009947A1" w:rsidRDefault="009947A1" w:rsidP="009947A1">
      <w:pPr>
        <w:pStyle w:val="Normlnweb"/>
        <w:shd w:val="clear" w:color="auto" w:fill="FFFFFF"/>
        <w:spacing w:after="0" w:afterAutospacing="0"/>
        <w:jc w:val="center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color w:val="1D241C"/>
          <w:sz w:val="20"/>
          <w:szCs w:val="20"/>
        </w:rPr>
        <w:t>Čl. 3</w:t>
      </w:r>
      <w:r>
        <w:rPr>
          <w:rFonts w:ascii="Verdana" w:hAnsi="Verdana" w:cs="Calibri"/>
          <w:color w:val="1D241C"/>
          <w:sz w:val="20"/>
          <w:szCs w:val="20"/>
        </w:rPr>
        <w:br/>
        <w:t>Oznamovací povinnost</w:t>
      </w:r>
    </w:p>
    <w:p w:rsidR="009947A1" w:rsidRDefault="009947A1" w:rsidP="009947A1">
      <w:pPr>
        <w:pStyle w:val="Normlnweb"/>
        <w:numPr>
          <w:ilvl w:val="0"/>
          <w:numId w:val="3"/>
        </w:numPr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color w:val="1D241C"/>
          <w:sz w:val="20"/>
          <w:szCs w:val="20"/>
        </w:rPr>
        <w:lastRenderedPageBreak/>
        <w:t>Poplatník stanovený v Čl. 2 písm. b) této vyhlášky je povinen oznámit písemně nebo ústně do protokolu správci poplatku nejpozději do 7 dnů ode dne, kdy mu povinnost platit tento poplatek vznikla:</w:t>
      </w:r>
    </w:p>
    <w:p w:rsidR="009947A1" w:rsidRDefault="009947A1" w:rsidP="009947A1">
      <w:pPr>
        <w:pStyle w:val="Normlnweb"/>
        <w:numPr>
          <w:ilvl w:val="1"/>
          <w:numId w:val="3"/>
        </w:numPr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color w:val="1D241C"/>
          <w:sz w:val="20"/>
          <w:szCs w:val="20"/>
        </w:rPr>
        <w:t>příjmení, jméno, bydliště, rodné číslo,</w:t>
      </w:r>
    </w:p>
    <w:p w:rsidR="009947A1" w:rsidRDefault="009947A1" w:rsidP="009947A1">
      <w:pPr>
        <w:pStyle w:val="Normlnweb"/>
        <w:numPr>
          <w:ilvl w:val="1"/>
          <w:numId w:val="3"/>
        </w:numPr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color w:val="1D241C"/>
          <w:sz w:val="20"/>
          <w:szCs w:val="20"/>
        </w:rPr>
        <w:t>evidenční nebo popisné číslo stavby určené nebo sloužící k individuální rekreaci, není-li tato stavba označena evidenčním nebo popisným číslem, číslem parcelního pozemku, na kterém je tato stavba umístěna.</w:t>
      </w:r>
    </w:p>
    <w:p w:rsidR="009947A1" w:rsidRDefault="009947A1" w:rsidP="009947A1">
      <w:pPr>
        <w:pStyle w:val="Normlnweb"/>
        <w:numPr>
          <w:ilvl w:val="0"/>
          <w:numId w:val="3"/>
        </w:numPr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color w:val="1D241C"/>
          <w:sz w:val="20"/>
          <w:szCs w:val="20"/>
        </w:rPr>
        <w:t>Poplatníci stanovení v Čl. 2 této vyhlášky jsou povinni stejným způsobem a ve stejné lhůtě oznámit správci poplatku zánik své poplatkové povinnosti v důsledku změny trvalého pobytu nebo v důsledku změny vlastnictví ke stavbě určené nebo sloužící k individuální rekreaci.</w:t>
      </w:r>
    </w:p>
    <w:p w:rsidR="009947A1" w:rsidRDefault="009947A1" w:rsidP="009947A1">
      <w:pPr>
        <w:pStyle w:val="Normlnweb"/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</w:p>
    <w:p w:rsidR="009947A1" w:rsidRDefault="009947A1" w:rsidP="009947A1">
      <w:pPr>
        <w:pStyle w:val="Normlnweb"/>
        <w:shd w:val="clear" w:color="auto" w:fill="FFFFFF"/>
        <w:spacing w:after="0" w:afterAutospacing="0"/>
        <w:jc w:val="center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color w:val="1D241C"/>
          <w:sz w:val="20"/>
          <w:szCs w:val="20"/>
        </w:rPr>
        <w:t>Čl. 4</w:t>
      </w:r>
      <w:r>
        <w:rPr>
          <w:rFonts w:ascii="Verdana" w:hAnsi="Verdana" w:cs="Calibri"/>
          <w:color w:val="1D241C"/>
          <w:sz w:val="20"/>
          <w:szCs w:val="20"/>
        </w:rPr>
        <w:br/>
        <w:t>Sazba poplatku</w:t>
      </w:r>
    </w:p>
    <w:p w:rsidR="009947A1" w:rsidRDefault="009947A1" w:rsidP="009947A1">
      <w:pPr>
        <w:pStyle w:val="Normlnweb"/>
        <w:numPr>
          <w:ilvl w:val="0"/>
          <w:numId w:val="4"/>
        </w:numPr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color w:val="000000"/>
          <w:sz w:val="20"/>
          <w:szCs w:val="20"/>
        </w:rPr>
        <w:t>Sazba poplatku pro poplatníka uvedeného v článku 2 písm. a) a b) této vyhlášky je stanovena podle ustanovení § 10 b odst. 3 písm. a) zákona o místních poplatcích a činí </w:t>
      </w:r>
      <w:r>
        <w:rPr>
          <w:rFonts w:ascii="Verdana" w:hAnsi="Verdana" w:cs="Calibri"/>
          <w:b/>
          <w:bCs/>
          <w:color w:val="000000"/>
          <w:sz w:val="20"/>
          <w:szCs w:val="20"/>
        </w:rPr>
        <w:t>220,-</w:t>
      </w:r>
      <w:r>
        <w:rPr>
          <w:rFonts w:ascii="Verdana" w:hAnsi="Verdana" w:cs="Calibri"/>
          <w:color w:val="000000"/>
          <w:sz w:val="20"/>
          <w:szCs w:val="20"/>
        </w:rPr>
        <w:t> Kč za kalendářní rok.</w:t>
      </w:r>
    </w:p>
    <w:p w:rsidR="009947A1" w:rsidRDefault="009947A1" w:rsidP="009947A1">
      <w:pPr>
        <w:pStyle w:val="Normlnweb"/>
        <w:numPr>
          <w:ilvl w:val="0"/>
          <w:numId w:val="4"/>
        </w:numPr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color w:val="1D241C"/>
          <w:sz w:val="20"/>
          <w:szCs w:val="20"/>
        </w:rPr>
        <w:t>V případě změny místa trvalého pobytu nebo změny vlastnictví stavby, která je určena nebo slouží k individuální rekreaci v průběhu kalendářního roku, se uhradí poplatek v poměrné výši, která odpovídá počtu kalendářních měsíců pobytu nebo vlastnictví stavby v příslušném kalendářním roce. Dojde-li ke změně v průběhu kalendářního měsíce, je pro stanovení počtu měsíců rozhodný stav na konci tohoto měsíce.</w:t>
      </w:r>
    </w:p>
    <w:p w:rsidR="009947A1" w:rsidRDefault="009947A1" w:rsidP="009947A1">
      <w:pPr>
        <w:pStyle w:val="Normlnweb"/>
        <w:numPr>
          <w:ilvl w:val="0"/>
          <w:numId w:val="4"/>
        </w:numPr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color w:val="1D241C"/>
          <w:sz w:val="20"/>
          <w:szCs w:val="20"/>
        </w:rPr>
        <w:t>V případě změny místa trvalého pobytu nebo změny vlastnictví stavby, která je určena nebo slouží k individuální rekreaci v průběhu kalendářního roku, se uhradí poplatek v poměrné výši, která odpovídá počtu kalendářních měsíců pobytu nebo vlastnictví stavby v příslušném kalendářním roce. Dojde-li ke změně v průběhu kalendářního měsíce, je pro stanovení počtu měsíců rozhodný stav na konci tohoto měsíce.</w:t>
      </w:r>
    </w:p>
    <w:p w:rsidR="009947A1" w:rsidRDefault="009947A1" w:rsidP="009947A1">
      <w:pPr>
        <w:pStyle w:val="Normlnweb"/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</w:p>
    <w:p w:rsidR="009947A1" w:rsidRDefault="009947A1" w:rsidP="009947A1">
      <w:pPr>
        <w:pStyle w:val="Normlnweb"/>
        <w:shd w:val="clear" w:color="auto" w:fill="FFFFFF"/>
        <w:spacing w:after="0" w:afterAutospacing="0"/>
        <w:jc w:val="center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color w:val="1D241C"/>
          <w:sz w:val="20"/>
          <w:szCs w:val="20"/>
        </w:rPr>
        <w:t>Čl. 5</w:t>
      </w:r>
      <w:r>
        <w:rPr>
          <w:rFonts w:ascii="Verdana" w:hAnsi="Verdana" w:cs="Calibri"/>
          <w:color w:val="1D241C"/>
          <w:sz w:val="20"/>
          <w:szCs w:val="20"/>
        </w:rPr>
        <w:br/>
        <w:t>Splatnost poplatku</w:t>
      </w:r>
    </w:p>
    <w:p w:rsidR="009947A1" w:rsidRDefault="009947A1" w:rsidP="009947A1">
      <w:pPr>
        <w:pStyle w:val="Normlnweb"/>
        <w:numPr>
          <w:ilvl w:val="0"/>
          <w:numId w:val="5"/>
        </w:numPr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color w:val="1D241C"/>
          <w:sz w:val="20"/>
          <w:szCs w:val="20"/>
        </w:rPr>
        <w:t>Poplatek pro poplatníka podle Čl. 2 písm. a) a b) této vyhlášky je splatný jednorázově, a to nejpozději do 31. 5. příslušného kalendářního roku.</w:t>
      </w:r>
    </w:p>
    <w:p w:rsidR="009947A1" w:rsidRDefault="009947A1" w:rsidP="009947A1">
      <w:pPr>
        <w:pStyle w:val="Normlnweb"/>
        <w:numPr>
          <w:ilvl w:val="0"/>
          <w:numId w:val="5"/>
        </w:numPr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color w:val="1D241C"/>
          <w:sz w:val="20"/>
          <w:szCs w:val="20"/>
        </w:rPr>
        <w:t xml:space="preserve">Vznikne-li poplatková povinnost po termínu splatnosti, je poplatek splatný nejpozději do </w:t>
      </w:r>
      <w:proofErr w:type="gramStart"/>
      <w:r>
        <w:rPr>
          <w:rFonts w:ascii="Verdana" w:hAnsi="Verdana" w:cs="Calibri"/>
          <w:color w:val="1D241C"/>
          <w:sz w:val="20"/>
          <w:szCs w:val="20"/>
        </w:rPr>
        <w:t>10-ti</w:t>
      </w:r>
      <w:proofErr w:type="gramEnd"/>
      <w:r>
        <w:rPr>
          <w:rFonts w:ascii="Verdana" w:hAnsi="Verdana" w:cs="Calibri"/>
          <w:color w:val="1D241C"/>
          <w:sz w:val="20"/>
          <w:szCs w:val="20"/>
        </w:rPr>
        <w:t xml:space="preserve"> dnů ode dne, kdy povinnost poplatek platit vznikla.</w:t>
      </w:r>
    </w:p>
    <w:p w:rsidR="009947A1" w:rsidRDefault="009947A1" w:rsidP="009947A1">
      <w:pPr>
        <w:pStyle w:val="Normlnweb"/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</w:p>
    <w:p w:rsidR="009947A1" w:rsidRDefault="009947A1" w:rsidP="009947A1">
      <w:pPr>
        <w:pStyle w:val="Normlnweb"/>
        <w:shd w:val="clear" w:color="auto" w:fill="FFFFFF"/>
        <w:spacing w:after="270" w:afterAutospacing="0"/>
        <w:jc w:val="center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b/>
          <w:bCs/>
          <w:color w:val="1D241C"/>
          <w:sz w:val="20"/>
          <w:szCs w:val="20"/>
        </w:rPr>
        <w:t>ČÁST TŘETÍ</w:t>
      </w:r>
      <w:r>
        <w:rPr>
          <w:rFonts w:ascii="Verdana" w:hAnsi="Verdana" w:cs="Calibri"/>
          <w:b/>
          <w:bCs/>
          <w:color w:val="1D241C"/>
          <w:sz w:val="20"/>
          <w:szCs w:val="20"/>
        </w:rPr>
        <w:br/>
        <w:t>Společná ustanovení</w:t>
      </w:r>
    </w:p>
    <w:p w:rsidR="009947A1" w:rsidRDefault="009947A1" w:rsidP="009947A1">
      <w:pPr>
        <w:pStyle w:val="Normlnweb"/>
        <w:shd w:val="clear" w:color="auto" w:fill="FFFFFF"/>
        <w:spacing w:after="0" w:afterAutospacing="0"/>
        <w:jc w:val="center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color w:val="1D241C"/>
          <w:sz w:val="20"/>
          <w:szCs w:val="20"/>
        </w:rPr>
        <w:t>Čl. 6</w:t>
      </w:r>
    </w:p>
    <w:p w:rsidR="009947A1" w:rsidRDefault="009947A1" w:rsidP="009947A1">
      <w:pPr>
        <w:pStyle w:val="Normlnweb"/>
        <w:numPr>
          <w:ilvl w:val="0"/>
          <w:numId w:val="6"/>
        </w:numPr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color w:val="1D241C"/>
          <w:sz w:val="20"/>
          <w:szCs w:val="20"/>
        </w:rPr>
        <w:t xml:space="preserve">Nebudou-li poplatky zaplaceny (odvedeny) včas nebo ve správné výši, vyměří obec poplatek platebním výměrem. Včas nezaplacené (neodvedené) poplatky </w:t>
      </w:r>
      <w:r>
        <w:rPr>
          <w:rFonts w:ascii="Verdana" w:hAnsi="Verdana" w:cs="Calibri"/>
          <w:color w:val="1D241C"/>
          <w:sz w:val="20"/>
          <w:szCs w:val="20"/>
        </w:rPr>
        <w:lastRenderedPageBreak/>
        <w:t>nebo jejích nezaplacenou (neodvedenou) část může obec zvýšit až na trojnásobek Vyměřené poplatky se zaokrouhlují na celé koruny nahoru.</w:t>
      </w:r>
    </w:p>
    <w:p w:rsidR="009947A1" w:rsidRDefault="009947A1" w:rsidP="009947A1">
      <w:pPr>
        <w:pStyle w:val="Normlnweb"/>
        <w:numPr>
          <w:ilvl w:val="0"/>
          <w:numId w:val="6"/>
        </w:numPr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color w:val="1D241C"/>
          <w:sz w:val="20"/>
          <w:szCs w:val="20"/>
        </w:rPr>
        <w:t xml:space="preserve">Pokud poplatník nesplní ve stanovené lhůtě svoji oznamovací povinnost vyplývající z této vyhlášky nebo uloženou rozhodnutím podle zákona č. 337/1992 Sb., o správě daní a poplatků, ve znění pozdějších předpisů, může mu správce poplatku opakovaně uložit pokutu za nepeněžité plnění ve smyslu ustanovení § 37 a </w:t>
      </w:r>
      <w:proofErr w:type="gramStart"/>
      <w:r>
        <w:rPr>
          <w:rFonts w:ascii="Verdana" w:hAnsi="Verdana" w:cs="Calibri"/>
          <w:color w:val="1D241C"/>
          <w:sz w:val="20"/>
          <w:szCs w:val="20"/>
        </w:rPr>
        <w:t>37a</w:t>
      </w:r>
      <w:proofErr w:type="gramEnd"/>
      <w:r>
        <w:rPr>
          <w:rFonts w:ascii="Verdana" w:hAnsi="Verdana" w:cs="Calibri"/>
          <w:color w:val="1D241C"/>
          <w:sz w:val="20"/>
          <w:szCs w:val="20"/>
        </w:rPr>
        <w:t xml:space="preserve"> citovaného zákona.</w:t>
      </w:r>
    </w:p>
    <w:p w:rsidR="009947A1" w:rsidRDefault="009947A1" w:rsidP="009947A1">
      <w:pPr>
        <w:pStyle w:val="Normlnweb"/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</w:p>
    <w:p w:rsidR="009947A1" w:rsidRDefault="009947A1" w:rsidP="009947A1">
      <w:pPr>
        <w:pStyle w:val="Normlnweb"/>
        <w:shd w:val="clear" w:color="auto" w:fill="FFFFFF"/>
        <w:spacing w:after="0" w:afterAutospacing="0"/>
        <w:jc w:val="center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color w:val="1D241C"/>
          <w:sz w:val="20"/>
          <w:szCs w:val="20"/>
        </w:rPr>
        <w:t>Čl. 7</w:t>
      </w:r>
    </w:p>
    <w:p w:rsidR="009947A1" w:rsidRDefault="009947A1" w:rsidP="009947A1">
      <w:pPr>
        <w:pStyle w:val="Normlnweb"/>
        <w:numPr>
          <w:ilvl w:val="0"/>
          <w:numId w:val="7"/>
        </w:numPr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color w:val="1D241C"/>
          <w:sz w:val="20"/>
          <w:szCs w:val="20"/>
        </w:rPr>
        <w:t>Pokud poplatník nesplní svoji poplatkovou povinnost stanovenou touto obecně závaznou vyhláškou, lze dlužné částky vyměřit nebo doměřit do 3 let od konce kalendářního roku, ve kterém poplatková povinnost vznikla.</w:t>
      </w:r>
    </w:p>
    <w:p w:rsidR="009947A1" w:rsidRDefault="009947A1" w:rsidP="009947A1">
      <w:pPr>
        <w:pStyle w:val="Normlnweb"/>
        <w:numPr>
          <w:ilvl w:val="0"/>
          <w:numId w:val="7"/>
        </w:numPr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color w:val="1D241C"/>
          <w:sz w:val="20"/>
          <w:szCs w:val="20"/>
        </w:rPr>
        <w:t>Byl-li před uplynutím této lhůty učiněn úkon směřující k vyměření nebo doměření poplatku, běží tříletá lhůta znovu od konce roku, v němž byl poplatník nebo plátce o tomto úkonu písemné uvědomen. Vyměřit nebo doměřit poplatek však lze nejpozději do 10 let od konce kalendářního roku, ve kterém poplatková povinnost vznikla.</w:t>
      </w:r>
    </w:p>
    <w:p w:rsidR="009947A1" w:rsidRDefault="009947A1" w:rsidP="009947A1">
      <w:pPr>
        <w:pStyle w:val="Normlnweb"/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</w:p>
    <w:p w:rsidR="009947A1" w:rsidRDefault="009947A1" w:rsidP="009947A1">
      <w:pPr>
        <w:pStyle w:val="Normlnweb"/>
        <w:shd w:val="clear" w:color="auto" w:fill="FFFFFF"/>
        <w:spacing w:after="0" w:afterAutospacing="0"/>
        <w:jc w:val="center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color w:val="1D241C"/>
          <w:sz w:val="20"/>
          <w:szCs w:val="20"/>
        </w:rPr>
        <w:t>Čl. 8</w:t>
      </w:r>
    </w:p>
    <w:p w:rsidR="009947A1" w:rsidRDefault="009947A1" w:rsidP="009947A1">
      <w:pPr>
        <w:pStyle w:val="Normlnweb"/>
        <w:numPr>
          <w:ilvl w:val="0"/>
          <w:numId w:val="8"/>
        </w:numPr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color w:val="1D241C"/>
          <w:sz w:val="20"/>
          <w:szCs w:val="20"/>
        </w:rPr>
        <w:t>Správce poplatku může na žádost poplatníka z důvodu odstranění tvrdosti poplatek nebo jeho příslušenství zcela nebo částečně prominout.</w:t>
      </w:r>
    </w:p>
    <w:p w:rsidR="009947A1" w:rsidRDefault="009947A1" w:rsidP="009947A1">
      <w:pPr>
        <w:pStyle w:val="Normlnweb"/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</w:p>
    <w:p w:rsidR="009947A1" w:rsidRDefault="009947A1" w:rsidP="009947A1">
      <w:pPr>
        <w:pStyle w:val="Normlnweb"/>
        <w:shd w:val="clear" w:color="auto" w:fill="FFFFFF"/>
        <w:spacing w:after="270" w:afterAutospacing="0"/>
        <w:jc w:val="center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b/>
          <w:bCs/>
          <w:color w:val="1D241C"/>
          <w:sz w:val="20"/>
          <w:szCs w:val="20"/>
        </w:rPr>
        <w:t>ČÁST ČTVRTÁ</w:t>
      </w:r>
      <w:r>
        <w:rPr>
          <w:rFonts w:ascii="Verdana" w:hAnsi="Verdana" w:cs="Calibri"/>
          <w:b/>
          <w:bCs/>
          <w:color w:val="1D241C"/>
          <w:sz w:val="20"/>
          <w:szCs w:val="20"/>
        </w:rPr>
        <w:br/>
        <w:t>Zrušovací ustanovení</w:t>
      </w:r>
    </w:p>
    <w:p w:rsidR="009947A1" w:rsidRDefault="009947A1" w:rsidP="009947A1">
      <w:pPr>
        <w:pStyle w:val="Normlnweb"/>
        <w:shd w:val="clear" w:color="auto" w:fill="FFFFFF"/>
        <w:spacing w:after="0" w:afterAutospacing="0"/>
        <w:jc w:val="center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color w:val="1D241C"/>
          <w:sz w:val="20"/>
          <w:szCs w:val="20"/>
        </w:rPr>
        <w:t>Čl. 9</w:t>
      </w:r>
    </w:p>
    <w:p w:rsidR="009947A1" w:rsidRDefault="009947A1" w:rsidP="009947A1">
      <w:pPr>
        <w:pStyle w:val="Normlnweb"/>
        <w:numPr>
          <w:ilvl w:val="0"/>
          <w:numId w:val="9"/>
        </w:numPr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color w:val="1D241C"/>
          <w:sz w:val="20"/>
          <w:szCs w:val="20"/>
        </w:rPr>
        <w:t>Touto obecně závaznou vyhláškou se ruší obecně závazná vyhláška č. 8/2001 o místním poplatku za provoz systému shromažďování, sběru, přepravy, třídění, využívání a odstraňování komunálních odpadů ze dne 27. 11. 2001.</w:t>
      </w:r>
    </w:p>
    <w:p w:rsidR="009947A1" w:rsidRDefault="009947A1" w:rsidP="009947A1">
      <w:pPr>
        <w:pStyle w:val="Normlnweb"/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</w:p>
    <w:p w:rsidR="009947A1" w:rsidRDefault="009947A1" w:rsidP="009947A1">
      <w:pPr>
        <w:pStyle w:val="Normlnweb"/>
        <w:shd w:val="clear" w:color="auto" w:fill="FFFFFF"/>
        <w:spacing w:after="270" w:afterAutospacing="0"/>
        <w:jc w:val="center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b/>
          <w:bCs/>
          <w:color w:val="1D241C"/>
          <w:sz w:val="20"/>
          <w:szCs w:val="20"/>
        </w:rPr>
        <w:t>ČÁST PÁTÁ</w:t>
      </w:r>
      <w:r>
        <w:rPr>
          <w:rFonts w:ascii="Verdana" w:hAnsi="Verdana" w:cs="Calibri"/>
          <w:b/>
          <w:bCs/>
          <w:color w:val="1D241C"/>
          <w:sz w:val="20"/>
          <w:szCs w:val="20"/>
        </w:rPr>
        <w:br/>
        <w:t>Účinnost</w:t>
      </w:r>
    </w:p>
    <w:p w:rsidR="009947A1" w:rsidRDefault="009947A1" w:rsidP="009947A1">
      <w:pPr>
        <w:pStyle w:val="Normlnweb"/>
        <w:shd w:val="clear" w:color="auto" w:fill="FFFFFF"/>
        <w:spacing w:after="0" w:afterAutospacing="0"/>
        <w:jc w:val="center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color w:val="1D241C"/>
          <w:sz w:val="20"/>
          <w:szCs w:val="20"/>
        </w:rPr>
        <w:t>Čl. 10</w:t>
      </w:r>
    </w:p>
    <w:p w:rsidR="009947A1" w:rsidRDefault="009947A1" w:rsidP="009947A1">
      <w:pPr>
        <w:pStyle w:val="Normlnweb"/>
        <w:numPr>
          <w:ilvl w:val="0"/>
          <w:numId w:val="10"/>
        </w:numPr>
        <w:shd w:val="clear" w:color="auto" w:fill="FFFFFF"/>
        <w:spacing w:after="0" w:afterAutospacing="0"/>
        <w:rPr>
          <w:rFonts w:ascii="Calibri" w:hAnsi="Calibri" w:cs="Calibri"/>
          <w:color w:val="1D241C"/>
          <w:sz w:val="27"/>
          <w:szCs w:val="27"/>
        </w:rPr>
      </w:pPr>
      <w:r>
        <w:rPr>
          <w:rFonts w:ascii="Verdana" w:hAnsi="Verdana" w:cs="Calibri"/>
          <w:color w:val="1D241C"/>
          <w:sz w:val="20"/>
          <w:szCs w:val="20"/>
        </w:rPr>
        <w:t>Tato obecně závazná vyhláška nabývá účinnosti dne 1. 1. 2004.</w:t>
      </w:r>
    </w:p>
    <w:p w:rsidR="00562C83" w:rsidRDefault="00562C83">
      <w:bookmarkStart w:id="0" w:name="_GoBack"/>
      <w:bookmarkEnd w:id="0"/>
    </w:p>
    <w:sectPr w:rsidR="00562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26C94"/>
    <w:multiLevelType w:val="multilevel"/>
    <w:tmpl w:val="907A1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32E84"/>
    <w:multiLevelType w:val="multilevel"/>
    <w:tmpl w:val="8A545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C50043"/>
    <w:multiLevelType w:val="multilevel"/>
    <w:tmpl w:val="7AC67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7461C5"/>
    <w:multiLevelType w:val="multilevel"/>
    <w:tmpl w:val="4000B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056A63"/>
    <w:multiLevelType w:val="multilevel"/>
    <w:tmpl w:val="4D56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2024D2"/>
    <w:multiLevelType w:val="multilevel"/>
    <w:tmpl w:val="AF10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353A9B"/>
    <w:multiLevelType w:val="multilevel"/>
    <w:tmpl w:val="3D80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F17C0F"/>
    <w:multiLevelType w:val="multilevel"/>
    <w:tmpl w:val="60C6F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A958E4"/>
    <w:multiLevelType w:val="multilevel"/>
    <w:tmpl w:val="C2E0A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DA25BE"/>
    <w:multiLevelType w:val="multilevel"/>
    <w:tmpl w:val="5CB86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A1"/>
    <w:rsid w:val="00562C83"/>
    <w:rsid w:val="0099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A3D87-33E9-453B-B4A3-3679CF30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94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5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lukas.kuchlet@gmail.com</dc:creator>
  <cp:keywords/>
  <dc:description/>
  <cp:lastModifiedBy>lukas.kuchlet@gmail.com</cp:lastModifiedBy>
  <cp:revision>1</cp:revision>
  <dcterms:created xsi:type="dcterms:W3CDTF">2019-12-21T18:01:00Z</dcterms:created>
  <dcterms:modified xsi:type="dcterms:W3CDTF">2019-12-21T18:02:00Z</dcterms:modified>
</cp:coreProperties>
</file>