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79B" w:rsidRPr="0077779B" w:rsidRDefault="0077779B" w:rsidP="0077779B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Obecně závazná vyhláška obce Smržice č. 8/2001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o místním poplatku za provoz systému shromažďování, sběru, přepravy, třídění, využívání a odstraňování komunálních odpadů.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Zastupitelstvo obce Smržice vydává dne 27.11.2001 podle ustanovení </w:t>
      </w: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§ 15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zákona č. 565/1990 Sb., o místních poplatcích, ve znění pozdějších předpisů, a v souladu s ustanoveními </w:t>
      </w: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§ 10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písm. </w:t>
      </w: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a)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a </w:t>
      </w: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§ 84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odst. </w:t>
      </w: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2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písm. </w:t>
      </w: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i)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zákona č. 128/2000 Sb., o obcích (obecní zřízení), tuto obecně závaznou vyhlášku.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1D241C"/>
          <w:kern w:val="36"/>
          <w:sz w:val="24"/>
          <w:szCs w:val="24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kern w:val="36"/>
          <w:sz w:val="24"/>
          <w:szCs w:val="24"/>
          <w:lang w:eastAsia="cs-CZ"/>
        </w:rPr>
        <w:t>Čl. 1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Správu poplatku vykonává obecní úřad Smržice (dále jen "správce poplatku") a v řízení ve věcech poplatku se postupuje podle zákona č. 337/1992 Sb., o správě daní a poplatků, ve znění pozdějších předpisů, pokud zákon č. 565/1990 Sb., o místních poplatcích, ve znění pozdějších předpisů, nestanoví jinak.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1D241C"/>
          <w:kern w:val="36"/>
          <w:sz w:val="24"/>
          <w:szCs w:val="24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kern w:val="36"/>
          <w:sz w:val="24"/>
          <w:szCs w:val="24"/>
          <w:lang w:eastAsia="cs-CZ"/>
        </w:rPr>
        <w:t>Čl. 2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Poplatník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Poplatek platí: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left="795" w:hanging="435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a)</w:t>
      </w:r>
      <w:r w:rsidRPr="0077779B">
        <w:rPr>
          <w:rFonts w:ascii="Times New Roman" w:eastAsia="Times New Roman" w:hAnsi="Times New Roman" w:cs="Times New Roman"/>
          <w:color w:val="1D241C"/>
          <w:sz w:val="14"/>
          <w:szCs w:val="14"/>
          <w:lang w:eastAsia="cs-CZ"/>
        </w:rPr>
        <w:t>     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fyzická osoba, která má v obci trvalý pobyt. Za domácnost může být poplatek odveden společným zástupcem, za rodinný nebo bytový dům vlastníkem nebo správcem, tyto osoby jsou povinny obci oznámit jména a data narození osob, za které poplatek odvádějí,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left="795" w:hanging="435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b)</w:t>
      </w:r>
      <w:r w:rsidRPr="0077779B">
        <w:rPr>
          <w:rFonts w:ascii="Times New Roman" w:eastAsia="Times New Roman" w:hAnsi="Times New Roman" w:cs="Times New Roman"/>
          <w:color w:val="1D241C"/>
          <w:sz w:val="14"/>
          <w:szCs w:val="14"/>
          <w:lang w:eastAsia="cs-CZ"/>
        </w:rPr>
        <w:t>     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fyzická osoba, která má ve vlastnictví stavbu určenou nebo sloužící k individuální rekreaci, ve které není hlášena k trvalému pobytu žádná fyzická osoba. Má-li k této stavbě vlastnické právo více osob, jsou povinny platit poplatek společně a nerozdílně, a to ve výši odpovídající poplatku za jednu fyzickou osobu.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Čl. 3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Sazba poplatku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 xml:space="preserve">Obec stanovuje sazbu poplatku pouze v rozsahu jedné složky s tím, že úhradu nákladů na pokrytí ostatních 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lastRenderedPageBreak/>
        <w:t>povinností ze zákona o odpadech provede ze svého rozpočtu.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left="795" w:hanging="435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1)</w:t>
      </w:r>
      <w:r w:rsidRPr="0077779B">
        <w:rPr>
          <w:rFonts w:ascii="Times New Roman" w:eastAsia="Times New Roman" w:hAnsi="Times New Roman" w:cs="Times New Roman"/>
          <w:color w:val="1D241C"/>
          <w:sz w:val="14"/>
          <w:szCs w:val="14"/>
          <w:lang w:eastAsia="cs-CZ"/>
        </w:rPr>
        <w:t>     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Sazba poplatku pro poplatníka podle Čl.2 písm. </w:t>
      </w: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a)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a </w:t>
      </w: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b)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je stanovena podle ustanovení </w:t>
      </w: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§    1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Ob odst. </w:t>
      </w: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3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písm. </w:t>
      </w: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a)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zákona o místních poplatcích a činí 150,- Kč za kalendářní rok.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left="795" w:hanging="435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2)</w:t>
      </w:r>
      <w:r w:rsidRPr="0077779B">
        <w:rPr>
          <w:rFonts w:ascii="Times New Roman" w:eastAsia="Times New Roman" w:hAnsi="Times New Roman" w:cs="Times New Roman"/>
          <w:color w:val="1D241C"/>
          <w:sz w:val="14"/>
          <w:szCs w:val="14"/>
          <w:lang w:eastAsia="cs-CZ"/>
        </w:rPr>
        <w:t>     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V případě změny místa trvalého pobytu nebo změny vlastnictví stavby, která je určena nebo slouží k individuální rekreaci v průběhu kalendářního roku, se uhradí poplatek v poměrné výši, která odpovídá počtu kalendářních měsíců pobytu nebo vlastnictví stavby v příslušném kalendářním roce. Dojde-li ke změně v průběhu kalendářního měsíce, je pro stanovení počtu měsíců rozhodný stav na konci tohoto měsíce.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Čl. 4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1D241C"/>
          <w:kern w:val="36"/>
          <w:sz w:val="24"/>
          <w:szCs w:val="24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kern w:val="36"/>
          <w:sz w:val="24"/>
          <w:szCs w:val="24"/>
          <w:lang w:eastAsia="cs-CZ"/>
        </w:rPr>
        <w:t>Osvobození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left="435" w:hanging="435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1)</w:t>
      </w:r>
      <w:r w:rsidRPr="0077779B">
        <w:rPr>
          <w:rFonts w:ascii="Times New Roman" w:eastAsia="Times New Roman" w:hAnsi="Times New Roman" w:cs="Times New Roman"/>
          <w:color w:val="1D241C"/>
          <w:sz w:val="14"/>
          <w:szCs w:val="14"/>
          <w:lang w:eastAsia="cs-CZ"/>
        </w:rPr>
        <w:t>     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Od poplatku jsou osvobozeni: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left="1155" w:hanging="435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a)</w:t>
      </w:r>
      <w:r w:rsidRPr="0077779B">
        <w:rPr>
          <w:rFonts w:ascii="Times New Roman" w:eastAsia="Times New Roman" w:hAnsi="Times New Roman" w:cs="Times New Roman"/>
          <w:color w:val="1D241C"/>
          <w:sz w:val="14"/>
          <w:szCs w:val="14"/>
          <w:lang w:eastAsia="cs-CZ"/>
        </w:rPr>
        <w:t>     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fyzická osoba vykonávající základní vojenskou službu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left="1155" w:hanging="435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b)</w:t>
      </w:r>
      <w:r w:rsidRPr="0077779B">
        <w:rPr>
          <w:rFonts w:ascii="Times New Roman" w:eastAsia="Times New Roman" w:hAnsi="Times New Roman" w:cs="Times New Roman"/>
          <w:color w:val="1D241C"/>
          <w:sz w:val="14"/>
          <w:szCs w:val="14"/>
          <w:lang w:eastAsia="cs-CZ"/>
        </w:rPr>
        <w:t>     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fyzická osoba ve výkonu trestu odnětí svobody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left="435" w:hanging="435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2)</w:t>
      </w:r>
      <w:r w:rsidRPr="0077779B">
        <w:rPr>
          <w:rFonts w:ascii="Times New Roman" w:eastAsia="Times New Roman" w:hAnsi="Times New Roman" w:cs="Times New Roman"/>
          <w:color w:val="1D241C"/>
          <w:sz w:val="14"/>
          <w:szCs w:val="14"/>
          <w:lang w:eastAsia="cs-CZ"/>
        </w:rPr>
        <w:t>     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 xml:space="preserve">Vznik nároku na osvobození od placení poplatku je poplatník povinen oznámit ve lhůtě do </w:t>
      </w:r>
      <w:proofErr w:type="gramStart"/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15-ti</w:t>
      </w:r>
      <w:proofErr w:type="gramEnd"/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 xml:space="preserve"> dnů písemně (čestné prohlášení) nebo ústně do protokolu správci poplatku ode dne, kdy nastala skutečnost zakládající nárok na osvobození. V e stejné lhůtě je poplatník osvobozený dle odst. </w:t>
      </w: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1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písm. </w:t>
      </w: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a)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povinen oznámit zánik nároku na osvobození.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Čl. 5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Splatnost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Poplatek je splatný jednorázově nejpozději do 31.5. kalendářního roku.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Čl. 6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Ohlašovací povinnost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left="435" w:hanging="435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1)</w:t>
      </w:r>
      <w:r w:rsidRPr="0077779B">
        <w:rPr>
          <w:rFonts w:ascii="Times New Roman" w:eastAsia="Times New Roman" w:hAnsi="Times New Roman" w:cs="Times New Roman"/>
          <w:color w:val="1D241C"/>
          <w:sz w:val="14"/>
          <w:szCs w:val="14"/>
          <w:lang w:eastAsia="cs-CZ"/>
        </w:rPr>
        <w:t>     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Poplatník podle Čl. </w:t>
      </w: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2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písm. </w:t>
      </w:r>
      <w:r w:rsidRPr="0077779B">
        <w:rPr>
          <w:rFonts w:ascii="Courier New" w:eastAsia="Times New Roman" w:hAnsi="Courier New" w:cs="Courier New"/>
          <w:b/>
          <w:bCs/>
          <w:color w:val="1D241C"/>
          <w:sz w:val="27"/>
          <w:szCs w:val="27"/>
          <w:lang w:eastAsia="cs-CZ"/>
        </w:rPr>
        <w:t>a)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 xml:space="preserve"> této vyhlášky je povinen ohlásit správci poplatku zánik jeho poplatkové povinnosti v důsledku změny trvalého 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lastRenderedPageBreak/>
        <w:t xml:space="preserve">pobytu v </w:t>
      </w:r>
      <w:proofErr w:type="gramStart"/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obci</w:t>
      </w:r>
      <w:proofErr w:type="gramEnd"/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 xml:space="preserve"> a to nejpozději do 30-ti dnů ode dne, kdy tato změna nastala.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left="435" w:hanging="435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2)</w:t>
      </w:r>
      <w:r w:rsidRPr="0077779B">
        <w:rPr>
          <w:rFonts w:ascii="Times New Roman" w:eastAsia="Times New Roman" w:hAnsi="Times New Roman" w:cs="Times New Roman"/>
          <w:color w:val="1D241C"/>
          <w:sz w:val="14"/>
          <w:szCs w:val="14"/>
          <w:lang w:eastAsia="cs-CZ"/>
        </w:rPr>
        <w:t>     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 xml:space="preserve">Poplatník podle Čl. 2 písm. </w:t>
      </w:r>
      <w:proofErr w:type="gramStart"/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b )</w:t>
      </w:r>
      <w:proofErr w:type="gramEnd"/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 xml:space="preserve"> této vyhlášky je povinen ohlásit správci poplatku zánik jeho poplatkové povinnosti v důsledku změny vlastnictví ke stavbě určené nebo sloužící k individuální rekreaci a to nejpozději do 30-ti dnů ode dne, kdy tato změna nastala.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1D241C"/>
          <w:kern w:val="36"/>
          <w:sz w:val="24"/>
          <w:szCs w:val="24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kern w:val="36"/>
          <w:sz w:val="24"/>
          <w:szCs w:val="24"/>
          <w:lang w:eastAsia="cs-CZ"/>
        </w:rPr>
        <w:t>Čl. 7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 xml:space="preserve">Nebude-li poplatek zaplacen včas nebo ve správné výši, vyměří správce poplatku, vždy poplatek platebním výměrem a může zvýšit včas nezaplacený poplatek až o </w:t>
      </w:r>
      <w:proofErr w:type="gramStart"/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50%</w:t>
      </w:r>
      <w:proofErr w:type="gramEnd"/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. Vyměřený poplatek se zaokrouhluje na celé koruny nahoru.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1D241C"/>
          <w:kern w:val="36"/>
          <w:sz w:val="24"/>
          <w:szCs w:val="24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kern w:val="36"/>
          <w:sz w:val="24"/>
          <w:szCs w:val="24"/>
          <w:lang w:eastAsia="cs-CZ"/>
        </w:rPr>
        <w:t>Čl. 8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 xml:space="preserve">Tomu, kdo nesplní ve stanovené lhůtě stanovené touto vyhláškou nebo rozhodnutím povinnost nepeněžité </w:t>
      </w:r>
      <w:proofErr w:type="gramStart"/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povahy ,</w:t>
      </w:r>
      <w:proofErr w:type="gramEnd"/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 xml:space="preserve"> může správce poplatku uložit pokutu podle ustanovení § 3 7 zákona č. 337/1992 Sb., o správě daní a poplatků ve znění pozdějších předpisů.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1D241C"/>
          <w:kern w:val="36"/>
          <w:sz w:val="24"/>
          <w:szCs w:val="24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kern w:val="36"/>
          <w:sz w:val="24"/>
          <w:szCs w:val="24"/>
          <w:lang w:eastAsia="cs-CZ"/>
        </w:rPr>
        <w:t>Čl. 9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left="435" w:hanging="435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1)</w:t>
      </w:r>
      <w:r w:rsidRPr="0077779B">
        <w:rPr>
          <w:rFonts w:ascii="Times New Roman" w:eastAsia="Times New Roman" w:hAnsi="Times New Roman" w:cs="Times New Roman"/>
          <w:color w:val="1D241C"/>
          <w:sz w:val="14"/>
          <w:szCs w:val="14"/>
          <w:lang w:eastAsia="cs-CZ"/>
        </w:rPr>
        <w:t>     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Pokud poplatník nesplní svoji oznamovací (</w:t>
      </w:r>
      <w:proofErr w:type="gramStart"/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poplatkovou )</w:t>
      </w:r>
      <w:proofErr w:type="gramEnd"/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 xml:space="preserve"> povinnost určenou touto obecně závaznou vyhláškou, lze dlužný poplatek vyměřit do tří let od konce kalendářního roku, ve kterém oznamovací )poplatková) povinnost vznikla.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left="435" w:hanging="435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2)</w:t>
      </w:r>
      <w:r w:rsidRPr="0077779B">
        <w:rPr>
          <w:rFonts w:ascii="Times New Roman" w:eastAsia="Times New Roman" w:hAnsi="Times New Roman" w:cs="Times New Roman"/>
          <w:color w:val="1D241C"/>
          <w:sz w:val="14"/>
          <w:szCs w:val="14"/>
          <w:lang w:eastAsia="cs-CZ"/>
        </w:rPr>
        <w:t>     </w:t>
      </w: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 xml:space="preserve">Promlčecí lhůty jsou posuzovány podle zákona č. 337/1992 Sb., o správě daní a </w:t>
      </w:r>
      <w:proofErr w:type="gramStart"/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poplatků,  ve</w:t>
      </w:r>
      <w:proofErr w:type="gramEnd"/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 xml:space="preserve"> znění pozdějších předpisů.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1D241C"/>
          <w:kern w:val="36"/>
          <w:sz w:val="24"/>
          <w:szCs w:val="24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kern w:val="36"/>
          <w:sz w:val="24"/>
          <w:szCs w:val="24"/>
          <w:lang w:eastAsia="cs-CZ"/>
        </w:rPr>
        <w:t>Čl. 10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Správce poplatku, může na základě žádosti poplatníka v jednotlivých případech poplatek snížit nebo prominout, a to z důvodu zmírnění nebo odstranění tvrdosti.</w:t>
      </w:r>
    </w:p>
    <w:p w:rsidR="0077779B" w:rsidRPr="0077779B" w:rsidRDefault="0077779B" w:rsidP="0077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 </w:t>
      </w:r>
    </w:p>
    <w:p w:rsidR="0077779B" w:rsidRPr="0077779B" w:rsidRDefault="0077779B" w:rsidP="0077779B">
      <w:pPr>
        <w:shd w:val="clear" w:color="auto" w:fill="FFFFFF"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1D241C"/>
          <w:kern w:val="36"/>
          <w:sz w:val="24"/>
          <w:szCs w:val="24"/>
          <w:lang w:eastAsia="cs-CZ"/>
        </w:rPr>
      </w:pPr>
      <w:r w:rsidRPr="0077779B">
        <w:rPr>
          <w:rFonts w:ascii="Courier New" w:eastAsia="Times New Roman" w:hAnsi="Courier New" w:cs="Courier New"/>
          <w:b/>
          <w:bCs/>
          <w:color w:val="1D241C"/>
          <w:kern w:val="36"/>
          <w:sz w:val="24"/>
          <w:szCs w:val="24"/>
          <w:lang w:eastAsia="cs-CZ"/>
        </w:rPr>
        <w:t>Čl. 11</w:t>
      </w:r>
    </w:p>
    <w:p w:rsidR="0077779B" w:rsidRPr="0077779B" w:rsidRDefault="0077779B" w:rsidP="007777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41C"/>
          <w:sz w:val="27"/>
          <w:szCs w:val="27"/>
          <w:lang w:eastAsia="cs-CZ"/>
        </w:rPr>
      </w:pPr>
      <w:r w:rsidRPr="0077779B">
        <w:rPr>
          <w:rFonts w:ascii="Courier New" w:eastAsia="Times New Roman" w:hAnsi="Courier New" w:cs="Courier New"/>
          <w:color w:val="1D241C"/>
          <w:sz w:val="27"/>
          <w:szCs w:val="27"/>
          <w:lang w:eastAsia="cs-CZ"/>
        </w:rPr>
        <w:t>Tato vyhláška nabývá účinnosti dne 1.1.2002</w:t>
      </w:r>
    </w:p>
    <w:p w:rsidR="00562C83" w:rsidRDefault="00562C83">
      <w:bookmarkStart w:id="0" w:name="_GoBack"/>
      <w:bookmarkEnd w:id="0"/>
    </w:p>
    <w:sectPr w:rsidR="00562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9B"/>
    <w:rsid w:val="00562C83"/>
    <w:rsid w:val="0077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918E5-1223-4947-946E-ACE07BA7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77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77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zev">
    <w:name w:val="Title"/>
    <w:basedOn w:val="Normln"/>
    <w:link w:val="NzevChar"/>
    <w:uiPriority w:val="10"/>
    <w:qFormat/>
    <w:rsid w:val="0077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7779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lukas.kuchlet@gmail.com</dc:creator>
  <cp:keywords/>
  <dc:description/>
  <cp:lastModifiedBy>lukas.kuchlet@gmail.com</cp:lastModifiedBy>
  <cp:revision>1</cp:revision>
  <dcterms:created xsi:type="dcterms:W3CDTF">2019-12-21T18:21:00Z</dcterms:created>
  <dcterms:modified xsi:type="dcterms:W3CDTF">2019-12-21T18:22:00Z</dcterms:modified>
</cp:coreProperties>
</file>